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Lines="0" w:afterLines="0" w:line="700" w:lineRule="exact"/>
        <w:jc w:val="center"/>
        <w:rPr>
          <w:rFonts w:hint="eastAsia" w:ascii="Times New Roman" w:hAnsi="Times New Roman" w:eastAsia="方正小标宋简体"/>
          <w:sz w:val="44"/>
          <w:szCs w:val="44"/>
        </w:rPr>
      </w:pPr>
    </w:p>
    <w:p>
      <w:pPr>
        <w:snapToGrid w:val="0"/>
        <w:spacing w:beforeLines="0" w:afterLines="0" w:line="700" w:lineRule="exact"/>
        <w:jc w:val="center"/>
        <w:rPr>
          <w:rFonts w:hint="default" w:ascii="Times New Roman" w:hAnsi="Times New Roman" w:eastAsia="黑体"/>
          <w:sz w:val="44"/>
          <w:szCs w:val="44"/>
        </w:rPr>
      </w:pPr>
      <w:bookmarkStart w:id="1" w:name="_GoBack"/>
      <w:bookmarkEnd w:id="1"/>
      <w:r>
        <w:rPr>
          <w:rFonts w:hint="eastAsia" w:ascii="Times New Roman" w:hAnsi="Times New Roman" w:eastAsia="方正小标宋简体"/>
          <w:sz w:val="44"/>
          <w:szCs w:val="44"/>
        </w:rPr>
        <w:t>化妆品安全评估基本结论示例</w:t>
      </w:r>
    </w:p>
    <w:p>
      <w:pPr>
        <w:widowControl w:val="0"/>
        <w:adjustRightInd w:val="0"/>
        <w:snapToGrid w:val="0"/>
        <w:spacing w:beforeLines="0" w:after="0" w:afterLines="0" w:line="560" w:lineRule="exact"/>
        <w:jc w:val="center"/>
        <w:outlineLvl w:val="1"/>
        <w:rPr>
          <w:rFonts w:hint="default" w:ascii="Times New Roman" w:hAnsi="Times New Roman" w:eastAsia="方正小标宋简体"/>
          <w:kern w:val="0"/>
          <w:sz w:val="44"/>
          <w:szCs w:val="44"/>
        </w:rPr>
      </w:pPr>
    </w:p>
    <w:p>
      <w:pPr>
        <w:adjustRightInd w:val="0"/>
        <w:snapToGrid w:val="0"/>
        <w:spacing w:before="120" w:beforeLines="0" w:afterLines="0" w:line="560" w:lineRule="exact"/>
        <w:ind w:firstLine="560"/>
        <w:jc w:val="right"/>
        <w:rPr>
          <w:rFonts w:hint="default" w:ascii="Times New Roman" w:hAnsi="Times New Roman" w:eastAsia="仿宋_GB2312"/>
          <w:sz w:val="21"/>
          <w:szCs w:val="21"/>
        </w:rPr>
      </w:pPr>
      <w:r>
        <w:rPr>
          <w:rFonts w:hint="default" w:ascii="Times New Roman" w:hAnsi="Times New Roman" w:eastAsia="仿宋_GB2312"/>
          <w:sz w:val="21"/>
          <w:szCs w:val="21"/>
        </w:rPr>
        <w:t xml:space="preserve">                                  </w:t>
      </w:r>
      <w:r>
        <w:rPr>
          <w:rFonts w:hint="eastAsia" w:ascii="Times New Roman" w:hAnsi="Times New Roman" w:eastAsia="仿宋_GB2312"/>
          <w:sz w:val="21"/>
          <w:szCs w:val="21"/>
        </w:rPr>
        <w:t>注：本示例格式和内容仅供参考</w:t>
      </w:r>
    </w:p>
    <w:p>
      <w:pPr>
        <w:adjustRightInd w:val="0"/>
        <w:snapToGrid w:val="0"/>
        <w:spacing w:before="120" w:beforeLines="0" w:afterLines="0" w:line="560" w:lineRule="exact"/>
        <w:ind w:firstLine="560"/>
        <w:rPr>
          <w:rFonts w:hint="default" w:ascii="Times New Roman" w:hAnsi="Times New Roman" w:eastAsia="仿宋_GB2312"/>
          <w:sz w:val="28"/>
          <w:szCs w:val="28"/>
        </w:rPr>
      </w:pPr>
    </w:p>
    <w:p>
      <w:pPr>
        <w:adjustRightInd w:val="0"/>
        <w:snapToGrid w:val="0"/>
        <w:spacing w:before="120" w:beforeLines="0" w:afterLines="0" w:line="560" w:lineRule="exact"/>
        <w:ind w:firstLine="560"/>
        <w:rPr>
          <w:rFonts w:hint="default" w:ascii="Times New Roman" w:hAnsi="Times New Roman" w:eastAsia="仿宋_GB2312"/>
          <w:sz w:val="28"/>
          <w:szCs w:val="28"/>
        </w:rPr>
      </w:pPr>
    </w:p>
    <w:p>
      <w:pPr>
        <w:pStyle w:val="8"/>
        <w:numPr>
          <w:ilvl w:val="0"/>
          <w:numId w:val="0"/>
        </w:numPr>
        <w:adjustRightInd w:val="0"/>
        <w:snapToGrid w:val="0"/>
        <w:spacing w:beforeLines="0" w:afterLines="0" w:line="560" w:lineRule="exact"/>
        <w:ind w:left="0" w:firstLine="0"/>
        <w:rPr>
          <w:rFonts w:hint="default" w:ascii="Times New Roman" w:eastAsia="仿宋_GB2312"/>
          <w:sz w:val="28"/>
          <w:szCs w:val="28"/>
        </w:rPr>
      </w:pPr>
    </w:p>
    <w:p>
      <w:pPr>
        <w:pStyle w:val="8"/>
        <w:numPr>
          <w:ilvl w:val="0"/>
          <w:numId w:val="0"/>
        </w:numPr>
        <w:adjustRightInd w:val="0"/>
        <w:snapToGrid w:val="0"/>
        <w:spacing w:beforeLines="0" w:afterLines="0" w:line="560" w:lineRule="exact"/>
        <w:ind w:left="0" w:firstLine="0"/>
        <w:rPr>
          <w:rFonts w:hint="default" w:ascii="Times New Roman" w:eastAsia="仿宋_GB2312"/>
          <w:sz w:val="28"/>
          <w:szCs w:val="28"/>
          <w:u w:val="single" w:color="auto"/>
        </w:rPr>
      </w:pPr>
      <w:r>
        <w:rPr>
          <w:rFonts w:hint="default" w:ascii="Times New Roman" w:eastAsia="仿宋_GB2312"/>
          <w:sz w:val="28"/>
          <w:szCs w:val="28"/>
        </w:rPr>
        <w:t xml:space="preserve">            </w:t>
      </w:r>
      <w:r>
        <w:rPr>
          <w:rFonts w:hint="eastAsia" w:ascii="Times New Roman" w:eastAsia="仿宋_GB2312"/>
          <w:sz w:val="28"/>
          <w:szCs w:val="28"/>
        </w:rPr>
        <w:t>题目：</w:t>
      </w:r>
      <w:r>
        <w:rPr>
          <w:rFonts w:hint="eastAsia" w:ascii="Times New Roman" w:eastAsia="仿宋_GB2312"/>
          <w:sz w:val="28"/>
          <w:szCs w:val="28"/>
          <w:u w:val="single" w:color="auto"/>
          <w:lang w:val="en-US" w:eastAsia="zh-CN"/>
        </w:rPr>
        <w:t>xx（化妆品名称）</w:t>
      </w:r>
      <w:r>
        <w:rPr>
          <w:rFonts w:hint="eastAsia" w:ascii="Times New Roman" w:eastAsia="仿宋_GB2312"/>
          <w:sz w:val="28"/>
          <w:szCs w:val="28"/>
          <w:u w:val="single" w:color="auto"/>
        </w:rPr>
        <w:t>安全评估基本结论</w:t>
      </w:r>
      <w:r>
        <w:rPr>
          <w:rFonts w:hint="eastAsia" w:ascii="Times New Roman" w:eastAsia="仿宋_GB2312"/>
          <w:sz w:val="28"/>
          <w:szCs w:val="28"/>
          <w:u w:val="single" w:color="auto"/>
          <w:lang w:val="en-US" w:eastAsia="zh-CN"/>
        </w:rPr>
        <w:t xml:space="preserve">  </w:t>
      </w:r>
    </w:p>
    <w:p>
      <w:pPr>
        <w:pStyle w:val="8"/>
        <w:numPr>
          <w:ilvl w:val="0"/>
          <w:numId w:val="0"/>
        </w:numPr>
        <w:adjustRightInd w:val="0"/>
        <w:snapToGrid w:val="0"/>
        <w:spacing w:beforeLines="0" w:afterLines="0" w:line="560" w:lineRule="exact"/>
        <w:ind w:left="0" w:firstLine="0"/>
        <w:rPr>
          <w:rFonts w:hint="default" w:ascii="Times New Roman" w:eastAsia="仿宋_GB2312"/>
          <w:sz w:val="28"/>
          <w:szCs w:val="28"/>
          <w:u w:val="single" w:color="auto"/>
          <w:lang w:val="en-US" w:eastAsia="zh-CN"/>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备案人名称：</w:t>
      </w:r>
      <w:r>
        <w:rPr>
          <w:rFonts w:hint="default" w:ascii="Times New Roman" w:eastAsia="仿宋_GB2312"/>
          <w:sz w:val="28"/>
          <w:szCs w:val="28"/>
        </w:rPr>
        <w:t xml:space="preserve"> </w:t>
      </w:r>
      <w:bookmarkStart w:id="0" w:name="OLE_LINK2"/>
      <w:r>
        <w:rPr>
          <w:rFonts w:hint="eastAsia" w:ascii="Times New Roman" w:eastAsia="仿宋_GB2312"/>
          <w:sz w:val="28"/>
          <w:szCs w:val="28"/>
          <w:u w:val="single" w:color="auto"/>
        </w:rPr>
        <w:t>xxxxxxxx</w:t>
      </w:r>
      <w:bookmarkEnd w:id="0"/>
      <w:r>
        <w:rPr>
          <w:rFonts w:hint="default" w:ascii="Times New Roman" w:eastAsia="仿宋_GB2312"/>
          <w:sz w:val="28"/>
          <w:szCs w:val="28"/>
          <w:u w:val="single" w:color="auto"/>
        </w:rPr>
        <w:t xml:space="preserve">                </w:t>
      </w:r>
      <w:r>
        <w:rPr>
          <w:rFonts w:hint="eastAsia" w:ascii="Times New Roman" w:eastAsia="仿宋_GB2312"/>
          <w:sz w:val="28"/>
          <w:szCs w:val="28"/>
          <w:u w:val="single" w:color="auto"/>
          <w:lang w:val="en-US" w:eastAsia="zh-CN"/>
        </w:rPr>
        <w:t xml:space="preserve">   </w:t>
      </w:r>
    </w:p>
    <w:p>
      <w:pPr>
        <w:pStyle w:val="8"/>
        <w:numPr>
          <w:ilvl w:val="0"/>
          <w:numId w:val="0"/>
        </w:numPr>
        <w:adjustRightInd w:val="0"/>
        <w:snapToGrid w:val="0"/>
        <w:spacing w:beforeLines="0" w:afterLines="0" w:line="560" w:lineRule="exact"/>
        <w:ind w:left="0" w:firstLine="0"/>
        <w:rPr>
          <w:rFonts w:hint="default" w:ascii="Times New Roman" w:eastAsia="仿宋_GB2312"/>
          <w:sz w:val="28"/>
          <w:szCs w:val="28"/>
          <w:u w:val="single" w:color="auto"/>
          <w:lang w:val="en-US"/>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备案人地址：</w:t>
      </w:r>
      <w:r>
        <w:rPr>
          <w:rFonts w:hint="default" w:ascii="Times New Roman" w:eastAsia="仿宋_GB2312"/>
          <w:sz w:val="28"/>
          <w:szCs w:val="28"/>
        </w:rPr>
        <w:t xml:space="preserve"> </w:t>
      </w:r>
      <w:r>
        <w:rPr>
          <w:rFonts w:hint="eastAsia" w:ascii="Times New Roman" w:eastAsia="仿宋_GB2312"/>
          <w:sz w:val="28"/>
          <w:szCs w:val="28"/>
          <w:u w:val="single" w:color="auto"/>
        </w:rPr>
        <w:t>xxxxxxxx</w:t>
      </w:r>
      <w:r>
        <w:rPr>
          <w:rFonts w:hint="default" w:ascii="Times New Roman" w:eastAsia="仿宋_GB2312"/>
          <w:sz w:val="28"/>
          <w:szCs w:val="28"/>
          <w:u w:val="single" w:color="auto"/>
        </w:rPr>
        <w:t xml:space="preserve">                </w:t>
      </w:r>
      <w:r>
        <w:rPr>
          <w:rFonts w:hint="eastAsia" w:ascii="Times New Roman" w:eastAsia="仿宋_GB2312"/>
          <w:sz w:val="28"/>
          <w:szCs w:val="28"/>
          <w:u w:val="single" w:color="auto"/>
          <w:lang w:val="en-US" w:eastAsia="zh-CN"/>
        </w:rPr>
        <w:t xml:space="preserve">   </w:t>
      </w:r>
    </w:p>
    <w:p>
      <w:pPr>
        <w:pStyle w:val="8"/>
        <w:numPr>
          <w:ilvl w:val="0"/>
          <w:numId w:val="0"/>
        </w:numPr>
        <w:adjustRightInd w:val="0"/>
        <w:snapToGrid w:val="0"/>
        <w:spacing w:beforeLines="0" w:afterLines="0" w:line="560" w:lineRule="exact"/>
        <w:rPr>
          <w:rFonts w:hint="default" w:ascii="Times New Roman" w:eastAsia="仿宋_GB2312"/>
          <w:sz w:val="28"/>
          <w:szCs w:val="28"/>
        </w:rPr>
      </w:pPr>
      <w:r>
        <w:rPr>
          <w:rFonts w:hint="eastAsia" w:ascii="Times New Roman" w:eastAsia="仿宋_GB2312"/>
          <w:sz w:val="28"/>
          <w:szCs w:val="28"/>
          <w:lang w:val="en-US" w:eastAsia="zh-CN"/>
        </w:rPr>
        <w:t xml:space="preserve">            </w:t>
      </w:r>
      <w:r>
        <w:rPr>
          <w:rFonts w:hint="eastAsia" w:ascii="Times New Roman" w:eastAsia="仿宋_GB2312"/>
          <w:sz w:val="28"/>
          <w:szCs w:val="28"/>
        </w:rPr>
        <w:t>评估单位：</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p>
    <w:p>
      <w:pPr>
        <w:pStyle w:val="8"/>
        <w:numPr>
          <w:ilvl w:val="0"/>
          <w:numId w:val="0"/>
        </w:numPr>
        <w:adjustRightInd w:val="0"/>
        <w:snapToGrid w:val="0"/>
        <w:spacing w:beforeLines="0" w:afterLines="0" w:line="560" w:lineRule="exact"/>
        <w:ind w:left="0" w:firstLine="1680" w:firstLineChars="600"/>
        <w:rPr>
          <w:rFonts w:hint="default" w:ascii="Times New Roman" w:eastAsia="仿宋_GB2312"/>
          <w:sz w:val="28"/>
          <w:szCs w:val="28"/>
          <w:u w:val="single"/>
          <w:lang w:val="en-US"/>
        </w:rPr>
      </w:pPr>
      <w:r>
        <w:rPr>
          <w:rFonts w:hint="eastAsia" w:ascii="Times New Roman" w:eastAsia="仿宋_GB2312"/>
          <w:sz w:val="28"/>
          <w:szCs w:val="28"/>
        </w:rPr>
        <w:t>评估人：</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p>
    <w:p>
      <w:pPr>
        <w:pStyle w:val="8"/>
        <w:numPr>
          <w:ilvl w:val="0"/>
          <w:numId w:val="0"/>
        </w:numPr>
        <w:adjustRightInd w:val="0"/>
        <w:snapToGrid w:val="0"/>
        <w:spacing w:beforeLines="0" w:afterLines="0" w:line="560" w:lineRule="exact"/>
        <w:ind w:left="0" w:firstLine="320"/>
        <w:rPr>
          <w:rFonts w:hint="default" w:ascii="Times New Roman" w:eastAsia="仿宋_GB2312"/>
          <w:sz w:val="28"/>
          <w:szCs w:val="28"/>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评估日期：</w:t>
      </w:r>
      <w:r>
        <w:rPr>
          <w:rFonts w:hint="default" w:ascii="Times New Roman" w:eastAsia="仿宋_GB2312"/>
          <w:sz w:val="28"/>
          <w:szCs w:val="28"/>
          <w:u w:val="single"/>
        </w:rPr>
        <w:t xml:space="preserve"> </w:t>
      </w:r>
      <w:r>
        <w:rPr>
          <w:rFonts w:hint="eastAsia" w:ascii="Times New Roman" w:eastAsia="仿宋_GB2312"/>
          <w:bCs/>
          <w:sz w:val="32"/>
          <w:szCs w:val="32"/>
          <w:u w:val="single"/>
        </w:rPr>
        <w:t>xxxx</w:t>
      </w:r>
      <w:r>
        <w:rPr>
          <w:rFonts w:hint="default" w:ascii="Times New Roman" w:eastAsia="仿宋_GB2312"/>
          <w:sz w:val="28"/>
          <w:szCs w:val="28"/>
          <w:u w:val="single"/>
        </w:rPr>
        <w:t xml:space="preserve">  </w:t>
      </w:r>
      <w:r>
        <w:rPr>
          <w:rFonts w:hint="eastAsia" w:ascii="Times New Roman" w:eastAsia="仿宋_GB2312"/>
          <w:sz w:val="28"/>
          <w:szCs w:val="28"/>
        </w:rPr>
        <w:t>年</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月</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日</w:t>
      </w:r>
    </w:p>
    <w:p>
      <w:pPr>
        <w:pStyle w:val="8"/>
        <w:numPr>
          <w:ilvl w:val="0"/>
          <w:numId w:val="0"/>
        </w:numPr>
        <w:adjustRightInd w:val="0"/>
        <w:snapToGrid w:val="0"/>
        <w:spacing w:beforeLines="0" w:afterLines="0" w:line="560" w:lineRule="exact"/>
        <w:rPr>
          <w:rFonts w:hint="default" w:ascii="Times New Roman" w:eastAsia="仿宋_GB2312"/>
          <w:strike/>
          <w:sz w:val="28"/>
          <w:szCs w:val="28"/>
          <w:u w:val="single"/>
        </w:rPr>
      </w:pPr>
      <w:r>
        <w:rPr>
          <w:rFonts w:hint="eastAsia" w:ascii="Times New Roman" w:eastAsia="仿宋_GB2312"/>
          <w:sz w:val="28"/>
          <w:szCs w:val="28"/>
          <w:lang w:val="en-US" w:eastAsia="zh-CN"/>
        </w:rPr>
        <w:t xml:space="preserve">            </w:t>
      </w:r>
      <w:r>
        <w:rPr>
          <w:rFonts w:hint="eastAsia" w:ascii="Times New Roman" w:eastAsia="仿宋_GB2312"/>
          <w:sz w:val="28"/>
          <w:szCs w:val="28"/>
        </w:rPr>
        <w:t>质量安全负责人：</w:t>
      </w:r>
      <w:r>
        <w:rPr>
          <w:rFonts w:hint="default" w:ascii="Times New Roman" w:eastAsia="仿宋_GB2312"/>
          <w:sz w:val="28"/>
          <w:szCs w:val="28"/>
          <w:u w:val="single"/>
        </w:rPr>
        <w:t xml:space="preserve"> </w:t>
      </w:r>
      <w:r>
        <w:rPr>
          <w:rFonts w:hint="eastAsia" w:ascii="Times New Roman" w:eastAsia="仿宋_GB2312"/>
          <w:bCs/>
          <w:sz w:val="32"/>
          <w:szCs w:val="32"/>
          <w:u w:val="single"/>
        </w:rPr>
        <w:t>xxxxxxxx</w:t>
      </w:r>
      <w:r>
        <w:rPr>
          <w:rFonts w:hint="default" w:ascii="Times New Roman" w:eastAsia="仿宋_GB2312"/>
          <w:sz w:val="28"/>
          <w:szCs w:val="28"/>
          <w:u w:val="single"/>
        </w:rPr>
        <w:t xml:space="preserve">              </w:t>
      </w:r>
      <w:r>
        <w:rPr>
          <w:rFonts w:hint="default" w:ascii="Times New Roman" w:eastAsia="仿宋_GB2312"/>
          <w:sz w:val="28"/>
          <w:szCs w:val="28"/>
        </w:rPr>
        <w:t xml:space="preserve">  </w:t>
      </w:r>
    </w:p>
    <w:p>
      <w:pPr>
        <w:pStyle w:val="8"/>
        <w:numPr>
          <w:ilvl w:val="0"/>
          <w:numId w:val="0"/>
        </w:numPr>
        <w:adjustRightInd w:val="0"/>
        <w:snapToGrid w:val="0"/>
        <w:spacing w:beforeLines="0" w:afterLines="0" w:line="560" w:lineRule="exact"/>
        <w:ind w:left="0" w:firstLine="320"/>
        <w:rPr>
          <w:rFonts w:hint="default" w:ascii="Times New Roman" w:eastAsia="仿宋_GB2312"/>
          <w:sz w:val="28"/>
          <w:szCs w:val="28"/>
        </w:rPr>
      </w:pPr>
      <w:r>
        <w:rPr>
          <w:rFonts w:hint="default" w:ascii="Times New Roman" w:eastAsia="仿宋_GB2312"/>
          <w:sz w:val="28"/>
          <w:szCs w:val="28"/>
        </w:rPr>
        <w:t xml:space="preserve">        </w:t>
      </w:r>
      <w:r>
        <w:rPr>
          <w:rFonts w:hint="eastAsia" w:ascii="Times New Roman" w:eastAsia="仿宋_GB2312"/>
          <w:sz w:val="28"/>
          <w:szCs w:val="28"/>
          <w:lang w:val="en-US" w:eastAsia="zh-CN"/>
        </w:rPr>
        <w:t xml:space="preserve">  </w:t>
      </w:r>
      <w:r>
        <w:rPr>
          <w:rFonts w:hint="eastAsia" w:ascii="Times New Roman" w:eastAsia="仿宋_GB2312"/>
          <w:sz w:val="28"/>
          <w:szCs w:val="28"/>
        </w:rPr>
        <w:t>自查日期：</w:t>
      </w:r>
      <w:r>
        <w:rPr>
          <w:rFonts w:hint="default" w:ascii="Times New Roman" w:eastAsia="仿宋_GB2312"/>
          <w:sz w:val="28"/>
          <w:szCs w:val="28"/>
          <w:u w:val="single"/>
        </w:rPr>
        <w:t xml:space="preserve"> </w:t>
      </w:r>
      <w:r>
        <w:rPr>
          <w:rFonts w:hint="eastAsia" w:ascii="Times New Roman" w:eastAsia="仿宋_GB2312"/>
          <w:bCs/>
          <w:sz w:val="32"/>
          <w:szCs w:val="32"/>
          <w:u w:val="single"/>
        </w:rPr>
        <w:t>xxxx</w:t>
      </w:r>
      <w:r>
        <w:rPr>
          <w:rFonts w:hint="default" w:ascii="Times New Roman" w:eastAsia="仿宋_GB2312"/>
          <w:sz w:val="28"/>
          <w:szCs w:val="28"/>
          <w:u w:val="single"/>
        </w:rPr>
        <w:t xml:space="preserve">  </w:t>
      </w:r>
      <w:r>
        <w:rPr>
          <w:rFonts w:hint="eastAsia" w:ascii="Times New Roman" w:eastAsia="仿宋_GB2312"/>
          <w:sz w:val="28"/>
          <w:szCs w:val="28"/>
        </w:rPr>
        <w:t>年</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月</w:t>
      </w:r>
      <w:r>
        <w:rPr>
          <w:rFonts w:hint="default" w:ascii="Times New Roman" w:eastAsia="仿宋_GB2312"/>
          <w:sz w:val="28"/>
          <w:szCs w:val="28"/>
          <w:u w:val="single"/>
        </w:rPr>
        <w:t xml:space="preserve"> </w:t>
      </w:r>
      <w:r>
        <w:rPr>
          <w:rFonts w:hint="eastAsia" w:ascii="Times New Roman" w:eastAsia="仿宋_GB2312"/>
          <w:sz w:val="28"/>
          <w:szCs w:val="28"/>
          <w:u w:val="single"/>
          <w:lang w:val="en-US" w:eastAsia="zh-CN"/>
        </w:rPr>
        <w:t xml:space="preserve"> </w:t>
      </w:r>
      <w:r>
        <w:rPr>
          <w:rFonts w:hint="eastAsia" w:ascii="Times New Roman" w:eastAsia="仿宋_GB2312"/>
          <w:bCs/>
          <w:sz w:val="32"/>
          <w:szCs w:val="32"/>
          <w:u w:val="single"/>
        </w:rPr>
        <w:t>xx</w:t>
      </w:r>
      <w:r>
        <w:rPr>
          <w:rFonts w:hint="default" w:ascii="Times New Roman" w:eastAsia="仿宋_GB2312"/>
          <w:sz w:val="28"/>
          <w:szCs w:val="28"/>
          <w:u w:val="single"/>
        </w:rPr>
        <w:t xml:space="preserve">  </w:t>
      </w:r>
      <w:r>
        <w:rPr>
          <w:rFonts w:hint="eastAsia" w:ascii="Times New Roman" w:eastAsia="仿宋_GB2312"/>
          <w:sz w:val="28"/>
          <w:szCs w:val="28"/>
        </w:rPr>
        <w:t>日</w:t>
      </w:r>
    </w:p>
    <w:p>
      <w:pPr>
        <w:pStyle w:val="8"/>
        <w:numPr>
          <w:ilvl w:val="0"/>
          <w:numId w:val="0"/>
        </w:numPr>
        <w:adjustRightInd w:val="0"/>
        <w:snapToGrid w:val="0"/>
        <w:spacing w:beforeLines="0" w:afterLines="0" w:line="560" w:lineRule="exact"/>
        <w:ind w:left="0" w:firstLine="320"/>
        <w:rPr>
          <w:rFonts w:hint="default" w:ascii="Times New Roman" w:eastAsia="仿宋_GB2312"/>
          <w:sz w:val="28"/>
          <w:szCs w:val="28"/>
        </w:rPr>
      </w:pPr>
    </w:p>
    <w:p>
      <w:pPr>
        <w:pStyle w:val="8"/>
        <w:numPr>
          <w:ilvl w:val="0"/>
          <w:numId w:val="0"/>
        </w:numPr>
        <w:adjustRightInd w:val="0"/>
        <w:snapToGrid w:val="0"/>
        <w:spacing w:beforeLines="0" w:afterLines="0" w:line="360" w:lineRule="auto"/>
        <w:ind w:left="0" w:firstLine="320"/>
        <w:rPr>
          <w:rFonts w:hint="default" w:ascii="Times New Roman" w:eastAsia="仿宋_GB2312"/>
          <w:sz w:val="28"/>
          <w:szCs w:val="28"/>
        </w:rPr>
      </w:pPr>
    </w:p>
    <w:p>
      <w:pPr>
        <w:spacing w:beforeLines="0" w:afterLines="0" w:line="700" w:lineRule="atLeast"/>
        <w:rPr>
          <w:rFonts w:hint="default" w:ascii="Times New Roman" w:hAnsi="Times New Roman" w:eastAsia="仿宋_GB2312"/>
          <w:b/>
          <w:sz w:val="28"/>
          <w:szCs w:val="28"/>
        </w:rPr>
      </w:pPr>
      <w:r>
        <w:rPr>
          <w:rFonts w:hint="default" w:ascii="Times New Roman" w:hAnsi="Times New Roman" w:eastAsia="仿宋_GB2312"/>
          <w:sz w:val="28"/>
          <w:szCs w:val="28"/>
        </w:rPr>
        <w:br w:type="page"/>
      </w:r>
      <w:r>
        <w:rPr>
          <w:rFonts w:hint="default" w:ascii="Times New Roman" w:hAnsi="Times New Roman" w:eastAsia="仿宋_GB2312"/>
          <w:sz w:val="28"/>
          <w:szCs w:val="28"/>
        </w:rPr>
        <w:t xml:space="preserve">   </w:t>
      </w:r>
      <w:r>
        <w:rPr>
          <w:rFonts w:hint="default" w:ascii="Times New Roman" w:hAnsi="Times New Roman" w:eastAsia="黑体"/>
          <w:sz w:val="28"/>
          <w:szCs w:val="28"/>
        </w:rPr>
        <w:t xml:space="preserve"> </w:t>
      </w:r>
      <w:r>
        <w:rPr>
          <w:rFonts w:hint="eastAsia" w:ascii="Times New Roman" w:hAnsi="Times New Roman" w:eastAsia="黑体"/>
          <w:sz w:val="28"/>
          <w:szCs w:val="28"/>
        </w:rPr>
        <w:t>一、资料提交情形说明</w:t>
      </w:r>
    </w:p>
    <w:p>
      <w:pPr>
        <w:adjustRightInd w:val="0"/>
        <w:snapToGrid w:val="0"/>
        <w:spacing w:beforeLines="0" w:afterLines="0" w:line="560" w:lineRule="exact"/>
        <w:ind w:firstLine="560" w:firstLineChars="200"/>
        <w:rPr>
          <w:rFonts w:hint="default" w:ascii="Times New Roman" w:hAnsi="Times New Roman" w:eastAsia="仿宋_GB2312"/>
          <w:sz w:val="28"/>
          <w:szCs w:val="28"/>
        </w:rPr>
      </w:pPr>
      <w:r>
        <w:rPr>
          <w:rFonts w:hint="eastAsia" w:ascii="Times New Roman" w:hAnsi="Times New Roman" w:eastAsia="仿宋_GB2312"/>
          <w:sz w:val="28"/>
          <w:szCs w:val="28"/>
        </w:rPr>
        <w:t>本产品为普通化妆品</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属于《化妆品安全评估资料提交指南》中的</w:t>
      </w:r>
      <w:r>
        <w:rPr>
          <w:rFonts w:hint="eastAsia" w:ascii="Times New Roman" w:hAnsi="Times New Roman" w:eastAsia="仿宋_GB2312"/>
          <w:sz w:val="28"/>
          <w:szCs w:val="28"/>
          <w:lang w:val="en-US" w:eastAsia="zh-CN"/>
        </w:rPr>
        <w:t>第二类</w:t>
      </w:r>
      <w:r>
        <w:rPr>
          <w:rFonts w:hint="eastAsia" w:ascii="Times New Roman" w:hAnsi="Times New Roman" w:eastAsia="仿宋_GB2312"/>
          <w:sz w:val="28"/>
          <w:szCs w:val="28"/>
        </w:rPr>
        <w:t>化妆品中第</w:t>
      </w:r>
      <w:r>
        <w:rPr>
          <w:rFonts w:hint="eastAsia" w:ascii="Times New Roman" w:hAnsi="Times New Roman" w:eastAsia="仿宋_GB2312"/>
          <w:sz w:val="28"/>
          <w:szCs w:val="28"/>
          <w:lang w:val="en-US" w:eastAsia="zh-CN"/>
        </w:rPr>
        <w:t>二</w:t>
      </w:r>
      <w:r>
        <w:rPr>
          <w:rFonts w:hint="eastAsia" w:ascii="Times New Roman" w:hAnsi="Times New Roman" w:eastAsia="仿宋_GB2312"/>
          <w:sz w:val="28"/>
          <w:szCs w:val="28"/>
        </w:rPr>
        <w:t>种情形。本企业的质量管理体系运行良好，因此，本次备案提交化妆品安全评估基本结论，安全评估报告存档备查。</w:t>
      </w:r>
    </w:p>
    <w:p>
      <w:pPr>
        <w:adjustRightInd w:val="0"/>
        <w:snapToGrid w:val="0"/>
        <w:spacing w:beforeLines="0" w:afterLines="0" w:line="700" w:lineRule="atLeast"/>
        <w:rPr>
          <w:rFonts w:hint="default" w:ascii="Times New Roman" w:hAnsi="Times New Roman" w:eastAsia="仿宋_GB2312"/>
          <w:b/>
          <w:sz w:val="28"/>
          <w:szCs w:val="28"/>
        </w:rPr>
      </w:pPr>
      <w:r>
        <w:rPr>
          <w:rFonts w:hint="default" w:ascii="Times New Roman" w:hAnsi="Times New Roman" w:eastAsia="仿宋_GB2312"/>
          <w:sz w:val="28"/>
          <w:szCs w:val="28"/>
        </w:rPr>
        <w:t xml:space="preserve">    </w:t>
      </w:r>
      <w:r>
        <w:rPr>
          <w:rFonts w:hint="eastAsia" w:ascii="Times New Roman" w:hAnsi="Times New Roman" w:eastAsia="黑体"/>
          <w:sz w:val="28"/>
          <w:szCs w:val="28"/>
        </w:rPr>
        <w:t>二、化妆品安全评估摘要</w:t>
      </w:r>
    </w:p>
    <w:p>
      <w:pPr>
        <w:adjustRightInd w:val="0"/>
        <w:snapToGrid w:val="0"/>
        <w:spacing w:beforeLines="0" w:afterLines="0" w:line="560" w:lineRule="exact"/>
        <w:ind w:firstLine="560" w:firstLineChars="200"/>
        <w:rPr>
          <w:rFonts w:hint="default" w:ascii="Times New Roman" w:hAnsi="Times New Roman" w:eastAsia="仿宋_GB2312"/>
          <w:sz w:val="28"/>
          <w:szCs w:val="28"/>
        </w:rPr>
      </w:pPr>
      <w:r>
        <w:rPr>
          <w:rFonts w:hint="eastAsia" w:ascii="Times New Roman" w:hAnsi="Times New Roman" w:eastAsia="仿宋_GB2312"/>
          <w:sz w:val="28"/>
          <w:szCs w:val="28"/>
        </w:rPr>
        <w:t>本产品为</w:t>
      </w:r>
      <w:r>
        <w:rPr>
          <w:rFonts w:hint="eastAsia" w:ascii="Times New Roman" w:hAnsi="Times New Roman" w:eastAsia="仿宋_GB2312"/>
          <w:sz w:val="28"/>
          <w:szCs w:val="28"/>
          <w:lang w:val="en-US" w:eastAsia="zh-CN"/>
        </w:rPr>
        <w:t>驻留类</w:t>
      </w:r>
      <w:r>
        <w:rPr>
          <w:rFonts w:hint="eastAsia" w:ascii="Times New Roman" w:hAnsi="Times New Roman" w:eastAsia="仿宋_GB2312"/>
          <w:sz w:val="28"/>
          <w:szCs w:val="28"/>
        </w:rPr>
        <w:t>化妆品，适用于</w:t>
      </w:r>
      <w:r>
        <w:rPr>
          <w:rFonts w:hint="eastAsia" w:ascii="Times New Roman" w:hAnsi="Times New Roman" w:eastAsia="仿宋_GB2312"/>
          <w:sz w:val="28"/>
          <w:szCs w:val="28"/>
          <w:lang w:val="en-US" w:eastAsia="zh-CN"/>
        </w:rPr>
        <w:t>全身皮肤</w:t>
      </w:r>
      <w:r>
        <w:rPr>
          <w:rFonts w:hint="eastAsia" w:ascii="Times New Roman" w:hAnsi="Times New Roman" w:eastAsia="仿宋_GB2312"/>
          <w:sz w:val="28"/>
          <w:szCs w:val="28"/>
        </w:rPr>
        <w:t>，可每日使用，参考《化妆品安全评估技术导则（2021年版）》有关规定，对产品的微生物、有害物质和稳定性等进行了检测，并对配方所用的水、</w:t>
      </w:r>
      <w:r>
        <w:rPr>
          <w:rFonts w:hint="eastAsia" w:ascii="Times New Roman" w:hAnsi="Times New Roman" w:eastAsia="仿宋_GB2312"/>
          <w:sz w:val="28"/>
          <w:szCs w:val="28"/>
          <w:lang w:eastAsia="zh-CN"/>
        </w:rPr>
        <w:t>甘油、</w:t>
      </w:r>
      <w:r>
        <w:rPr>
          <w:rFonts w:hint="eastAsia" w:ascii="Times New Roman" w:hAnsi="Times New Roman" w:eastAsia="仿宋_GB2312"/>
          <w:sz w:val="28"/>
          <w:szCs w:val="28"/>
        </w:rPr>
        <w:fldChar w:fldCharType="begin"/>
      </w:r>
      <w:r>
        <w:rPr>
          <w:rFonts w:hint="eastAsia" w:ascii="Times New Roman" w:hAnsi="Times New Roman" w:eastAsia="仿宋_GB2312"/>
          <w:sz w:val="28"/>
          <w:szCs w:val="28"/>
        </w:rPr>
        <w:instrText xml:space="preserve"> HYPERLINK "https://www.jeebei.com/pingce/chengfen/791.html" </w:instrText>
      </w:r>
      <w:r>
        <w:rPr>
          <w:rFonts w:hint="eastAsia" w:ascii="Times New Roman" w:hAnsi="Times New Roman" w:eastAsia="仿宋_GB2312"/>
          <w:sz w:val="28"/>
          <w:szCs w:val="28"/>
        </w:rPr>
        <w:fldChar w:fldCharType="separate"/>
      </w:r>
      <w:r>
        <w:rPr>
          <w:rFonts w:hint="default" w:ascii="Times New Roman" w:hAnsi="Times New Roman" w:eastAsia="仿宋_GB2312"/>
          <w:sz w:val="28"/>
          <w:szCs w:val="28"/>
        </w:rPr>
        <w:t>香精</w:t>
      </w:r>
      <w:r>
        <w:rPr>
          <w:rFonts w:hint="default" w:ascii="Times New Roman" w:hAnsi="Times New Roman" w:eastAsia="仿宋_GB2312"/>
          <w:sz w:val="28"/>
          <w:szCs w:val="28"/>
        </w:rPr>
        <w:fldChar w:fldCharType="end"/>
      </w:r>
      <w:r>
        <w:rPr>
          <w:rFonts w:hint="eastAsia" w:ascii="Times New Roman" w:hAnsi="Times New Roman" w:eastAsia="仿宋_GB2312"/>
          <w:sz w:val="28"/>
          <w:szCs w:val="28"/>
        </w:rPr>
        <w:t>……共n</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n为成分数量）</w:t>
      </w:r>
      <w:r>
        <w:rPr>
          <w:rFonts w:hint="eastAsia" w:ascii="Times New Roman" w:hAnsi="Times New Roman" w:eastAsia="仿宋_GB2312"/>
          <w:sz w:val="28"/>
          <w:szCs w:val="28"/>
        </w:rPr>
        <w:t>种成分，以及可能存在的风险物质开展了安全评估。结果显示，该产品在正常、合理及可预见的使用情况下，不会对人体健康产生危害。</w:t>
      </w:r>
    </w:p>
    <w:p>
      <w:pPr>
        <w:adjustRightInd w:val="0"/>
        <w:snapToGrid w:val="0"/>
        <w:spacing w:beforeLines="0" w:afterLines="0" w:line="700" w:lineRule="atLeast"/>
        <w:ind w:firstLine="560" w:firstLineChars="200"/>
        <w:rPr>
          <w:rFonts w:hint="default" w:ascii="Times New Roman" w:hAnsi="Times New Roman" w:eastAsia="黑体"/>
          <w:sz w:val="28"/>
          <w:szCs w:val="28"/>
        </w:rPr>
      </w:pPr>
      <w:r>
        <w:rPr>
          <w:rFonts w:hint="eastAsia" w:ascii="Times New Roman" w:hAnsi="Times New Roman" w:eastAsia="黑体"/>
          <w:sz w:val="28"/>
          <w:szCs w:val="28"/>
        </w:rPr>
        <w:t>三、化妆品安全评估结论</w:t>
      </w:r>
    </w:p>
    <w:p>
      <w:pPr>
        <w:adjustRightInd w:val="0"/>
        <w:snapToGrid w:val="0"/>
        <w:spacing w:beforeLines="0" w:afterLines="0" w:line="560" w:lineRule="exact"/>
        <w:ind w:firstLine="560" w:firstLineChars="200"/>
        <w:jc w:val="both"/>
        <w:rPr>
          <w:rFonts w:hint="default" w:ascii="Times New Roman" w:hAnsi="Times New Roman" w:eastAsia="仿宋_GB2312"/>
          <w:sz w:val="28"/>
          <w:szCs w:val="28"/>
        </w:rPr>
      </w:pPr>
      <w:r>
        <w:rPr>
          <w:rFonts w:hint="eastAsia" w:ascii="Times New Roman" w:hAnsi="Times New Roman" w:eastAsia="仿宋_GB2312"/>
          <w:sz w:val="28"/>
          <w:szCs w:val="28"/>
        </w:rPr>
        <w:t>按照《化妆品安全评估报告自查要点》原则和程序对化妆品中每种原料、可能存在的风险物质、化妆品稳定性、化妆品包装相容性、微生物学等内容的评估进行自查，形成安全评估报告小结（模板见附</w:t>
      </w:r>
      <w:r>
        <w:rPr>
          <w:rFonts w:hint="default" w:ascii="Times New Roman" w:hAnsi="Times New Roman" w:eastAsia="仿宋_GB2312"/>
          <w:sz w:val="28"/>
          <w:szCs w:val="28"/>
        </w:rPr>
        <w:t>1</w:t>
      </w:r>
      <w:r>
        <w:rPr>
          <w:rFonts w:hint="eastAsia" w:ascii="Times New Roman" w:hAnsi="Times New Roman" w:eastAsia="仿宋_GB2312"/>
          <w:sz w:val="28"/>
          <w:szCs w:val="28"/>
        </w:rPr>
        <w:t>）。</w:t>
      </w:r>
    </w:p>
    <w:p>
      <w:pPr>
        <w:adjustRightInd w:val="0"/>
        <w:snapToGrid w:val="0"/>
        <w:spacing w:beforeLines="0" w:afterLines="0" w:line="560" w:lineRule="exact"/>
        <w:ind w:firstLine="560" w:firstLineChars="200"/>
        <w:rPr>
          <w:rFonts w:hint="default" w:ascii="Times New Roman" w:hAnsi="Times New Roman" w:eastAsia="仿宋_GB2312"/>
          <w:sz w:val="28"/>
          <w:szCs w:val="28"/>
        </w:rPr>
      </w:pPr>
      <w:r>
        <w:rPr>
          <w:rFonts w:hint="eastAsia" w:ascii="Times New Roman" w:hAnsi="Times New Roman" w:eastAsia="仿宋_GB2312"/>
          <w:sz w:val="28"/>
          <w:szCs w:val="28"/>
        </w:rPr>
        <w:t>经自查，该化妆品在正常、合理的及可预见的使用条件下不会对人体健康产生危害。</w:t>
      </w:r>
    </w:p>
    <w:p>
      <w:pPr>
        <w:spacing w:beforeLines="0" w:afterLines="0" w:line="560" w:lineRule="exact"/>
        <w:rPr>
          <w:rFonts w:hint="default" w:ascii="Times New Roman" w:hAnsi="Times New Roman" w:eastAsia="仿宋_GB2312"/>
          <w:b/>
          <w:sz w:val="28"/>
          <w:szCs w:val="28"/>
        </w:rPr>
      </w:pPr>
      <w:r>
        <w:rPr>
          <w:rFonts w:hint="default" w:ascii="Times New Roman" w:hAnsi="Times New Roman" w:eastAsia="仿宋_GB2312"/>
          <w:b/>
          <w:sz w:val="28"/>
          <w:szCs w:val="28"/>
        </w:rPr>
        <w:t xml:space="preserve"> </w:t>
      </w:r>
    </w:p>
    <w:p>
      <w:pPr>
        <w:spacing w:beforeLines="0" w:afterLines="0" w:line="560" w:lineRule="exact"/>
        <w:rPr>
          <w:rFonts w:hint="default" w:ascii="Times New Roman" w:hAnsi="Times New Roman" w:eastAsia="仿宋_GB2312"/>
          <w:b/>
          <w:sz w:val="28"/>
          <w:szCs w:val="28"/>
        </w:rPr>
      </w:pPr>
    </w:p>
    <w:p>
      <w:pPr>
        <w:widowControl/>
        <w:wordWrap/>
        <w:adjustRightInd w:val="0"/>
        <w:snapToGrid w:val="0"/>
        <w:spacing w:beforeLines="0" w:after="160" w:afterLines="0" w:line="560" w:lineRule="exact"/>
        <w:ind w:left="0" w:leftChars="0" w:right="0" w:firstLine="560" w:firstLineChars="200"/>
        <w:jc w:val="left"/>
        <w:textAlignment w:val="auto"/>
        <w:outlineLvl w:val="9"/>
        <w:rPr>
          <w:rFonts w:hint="default" w:ascii="Times New Roman" w:hAnsi="Times New Roman" w:eastAsia="仿宋_GB2312"/>
          <w:sz w:val="28"/>
          <w:szCs w:val="28"/>
        </w:rPr>
      </w:pPr>
      <w:r>
        <w:rPr>
          <w:rFonts w:hint="eastAsia" w:ascii="Times New Roman" w:hAnsi="Times New Roman" w:eastAsia="仿宋_GB2312"/>
          <w:sz w:val="28"/>
          <w:szCs w:val="28"/>
        </w:rPr>
        <w:t>附件：1.化妆品安全评估报告</w:t>
      </w:r>
    </w:p>
    <w:p>
      <w:pPr>
        <w:adjustRightInd w:val="0"/>
        <w:snapToGrid w:val="0"/>
        <w:spacing w:beforeLines="0" w:afterLines="0" w:line="560" w:lineRule="exact"/>
        <w:ind w:firstLine="560" w:firstLineChars="200"/>
        <w:rPr>
          <w:rFonts w:hint="default" w:ascii="Times New Roman" w:hAnsi="Times New Roman" w:eastAsia="仿宋_GB2312"/>
          <w:b/>
          <w:sz w:val="28"/>
          <w:szCs w:val="28"/>
        </w:rPr>
      </w:pPr>
      <w:r>
        <w:rPr>
          <w:rFonts w:hint="default" w:ascii="Times New Roman" w:hAnsi="Times New Roman" w:eastAsia="仿宋_GB2312"/>
          <w:sz w:val="28"/>
          <w:szCs w:val="28"/>
        </w:rPr>
        <w:t xml:space="preserve">  </w:t>
      </w:r>
      <w:r>
        <w:rPr>
          <w:rFonts w:hint="eastAsia" w:ascii="Times New Roman" w:hAnsi="Times New Roman" w:eastAsia="仿宋_GB2312"/>
          <w:sz w:val="28"/>
          <w:szCs w:val="28"/>
        </w:rPr>
        <w:t xml:space="preserve">   </w:t>
      </w:r>
    </w:p>
    <w:p>
      <w:pPr>
        <w:adjustRightInd w:val="0"/>
        <w:snapToGrid w:val="0"/>
        <w:spacing w:beforeLines="0" w:afterLines="0" w:line="560" w:lineRule="exact"/>
        <w:ind w:firstLine="1120" w:firstLineChars="400"/>
        <w:rPr>
          <w:rFonts w:hint="default" w:ascii="Times New Roman" w:hAnsi="Times New Roman" w:eastAsia="仿宋_GB2312"/>
          <w:sz w:val="28"/>
          <w:szCs w:val="28"/>
        </w:rPr>
      </w:pPr>
      <w:r>
        <w:rPr>
          <w:rFonts w:hint="eastAsia" w:ascii="Times New Roman" w:hAnsi="Times New Roman" w:eastAsia="仿宋_GB2312"/>
          <w:sz w:val="28"/>
          <w:szCs w:val="28"/>
        </w:rPr>
        <w:t xml:space="preserve">质量安全负责人（签字）：xxx    </w:t>
      </w:r>
    </w:p>
    <w:p>
      <w:pPr>
        <w:adjustRightInd w:val="0"/>
        <w:snapToGrid w:val="0"/>
        <w:spacing w:beforeLines="0" w:afterLines="0" w:line="560" w:lineRule="exact"/>
        <w:ind w:firstLine="1120" w:firstLineChars="400"/>
        <w:rPr>
          <w:rFonts w:hint="default" w:ascii="Times New Roman" w:hAnsi="Times New Roman" w:eastAsia="仿宋_GB2312"/>
          <w:sz w:val="28"/>
          <w:szCs w:val="28"/>
        </w:rPr>
      </w:pPr>
      <w:r>
        <w:rPr>
          <w:rFonts w:hint="eastAsia" w:ascii="Times New Roman" w:hAnsi="Times New Roman" w:eastAsia="仿宋_GB2312"/>
          <w:sz w:val="28"/>
          <w:szCs w:val="28"/>
        </w:rPr>
        <w:t>日期：20xx年xx月xx日</w:t>
      </w:r>
    </w:p>
    <w:p>
      <w:pPr>
        <w:adjustRightInd w:val="0"/>
        <w:snapToGrid w:val="0"/>
        <w:spacing w:beforeLines="0" w:afterLines="0" w:line="560" w:lineRule="exact"/>
        <w:ind w:firstLine="1120" w:firstLineChars="400"/>
        <w:rPr>
          <w:rFonts w:hint="default" w:ascii="Times New Roman" w:hAnsi="Times New Roman" w:eastAsia="仿宋_GB2312"/>
          <w:sz w:val="28"/>
          <w:szCs w:val="28"/>
        </w:rPr>
      </w:pPr>
      <w:r>
        <w:rPr>
          <w:rFonts w:hint="eastAsia" w:ascii="Times New Roman" w:hAnsi="Times New Roman" w:eastAsia="仿宋_GB2312"/>
          <w:sz w:val="28"/>
          <w:szCs w:val="28"/>
        </w:rPr>
        <w:t>地址：xxxxxxxxxxxxxxxx</w:t>
      </w:r>
      <w:r>
        <w:rPr>
          <w:rFonts w:hint="default" w:ascii="Times New Roman" w:hAnsi="Times New Roman" w:eastAsia="仿宋_GB2312"/>
          <w:sz w:val="28"/>
          <w:szCs w:val="28"/>
        </w:rPr>
        <w:br w:type="page"/>
      </w:r>
    </w:p>
    <w:p>
      <w:pPr>
        <w:spacing w:beforeLines="0" w:afterLines="0"/>
        <w:rPr>
          <w:rFonts w:hint="default" w:ascii="Times New Roman" w:hAnsi="Times New Roman" w:eastAsia="黑体"/>
          <w:color w:val="000000"/>
          <w:sz w:val="32"/>
          <w:szCs w:val="32"/>
        </w:rPr>
      </w:pPr>
      <w:r>
        <w:rPr>
          <w:rFonts w:hint="eastAsia" w:ascii="Times New Roman" w:hAnsi="Times New Roman" w:eastAsia="黑体"/>
          <w:color w:val="000000"/>
          <w:sz w:val="32"/>
          <w:szCs w:val="32"/>
        </w:rPr>
        <w:t>附件1</w:t>
      </w:r>
    </w:p>
    <w:p>
      <w:pPr>
        <w:snapToGrid w:val="0"/>
        <w:spacing w:beforeLines="0" w:afterLines="0" w:line="700" w:lineRule="exact"/>
        <w:jc w:val="center"/>
        <w:rPr>
          <w:rFonts w:hint="default" w:ascii="Times New Roman" w:hAnsi="Times New Roman" w:eastAsia="方正小标宋简体"/>
          <w:sz w:val="44"/>
          <w:szCs w:val="44"/>
        </w:rPr>
      </w:pPr>
      <w:r>
        <w:rPr>
          <w:rFonts w:hint="eastAsia" w:ascii="Times New Roman" w:hAnsi="Times New Roman" w:eastAsia="方正小标宋简体"/>
          <w:sz w:val="44"/>
          <w:szCs w:val="44"/>
        </w:rPr>
        <w:t>化妆品安全评估报告小结模板</w:t>
      </w:r>
    </w:p>
    <w:tbl>
      <w:tblPr>
        <w:tblStyle w:val="7"/>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b/>
                <w:sz w:val="28"/>
                <w:szCs w:val="28"/>
              </w:rPr>
            </w:pPr>
            <w:r>
              <w:rPr>
                <w:rFonts w:hint="eastAsia" w:ascii="Times New Roman" w:hAnsi="Times New Roman" w:eastAsia="仿宋_GB2312"/>
                <w:b/>
                <w:sz w:val="28"/>
                <w:szCs w:val="28"/>
              </w:rPr>
              <w:t>序号</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b/>
                <w:sz w:val="28"/>
                <w:szCs w:val="28"/>
              </w:rPr>
            </w:pPr>
            <w:r>
              <w:rPr>
                <w:rFonts w:hint="eastAsia" w:ascii="Times New Roman" w:hAnsi="Times New Roman" w:eastAsia="仿宋_GB2312"/>
                <w:b/>
                <w:sz w:val="28"/>
                <w:szCs w:val="28"/>
              </w:rPr>
              <w:t>自查项目</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ind w:firstLine="281" w:firstLineChars="100"/>
              <w:jc w:val="center"/>
              <w:rPr>
                <w:rFonts w:hint="default" w:ascii="Times New Roman" w:hAnsi="Times New Roman" w:eastAsia="仿宋_GB2312"/>
                <w:b/>
                <w:sz w:val="28"/>
                <w:szCs w:val="28"/>
              </w:rPr>
            </w:pPr>
            <w:r>
              <w:rPr>
                <w:rFonts w:hint="eastAsia" w:ascii="Times New Roman" w:hAnsi="Times New Roman" w:eastAsia="仿宋_GB2312"/>
                <w:b/>
                <w:sz w:val="28"/>
                <w:szCs w:val="28"/>
              </w:rPr>
              <w:t>自查要点</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b/>
                <w:sz w:val="28"/>
                <w:szCs w:val="28"/>
              </w:rPr>
            </w:pPr>
            <w:r>
              <w:rPr>
                <w:rFonts w:hint="eastAsia" w:ascii="Times New Roman" w:hAnsi="Times New Roman" w:eastAsia="仿宋_GB2312"/>
                <w:b/>
                <w:sz w:val="28"/>
                <w:szCs w:val="28"/>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质量管理体系运行情况</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autoSpaceDE w:val="0"/>
              <w:spacing w:beforeLines="0" w:after="0" w:afterLines="0" w:line="560" w:lineRule="exact"/>
              <w:ind w:left="0"/>
              <w:jc w:val="left"/>
              <w:rPr>
                <w:rFonts w:hint="default"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评估报告总体要求</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autoSpaceDE w:val="0"/>
              <w:spacing w:beforeLines="0" w:after="0" w:afterLines="0" w:line="560" w:lineRule="exact"/>
              <w:ind w:left="0"/>
              <w:jc w:val="left"/>
              <w:rPr>
                <w:rFonts w:hint="default"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封面</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autoSpaceDE w:val="0"/>
              <w:spacing w:beforeLines="0" w:after="0" w:afterLines="0" w:line="560" w:lineRule="exact"/>
              <w:ind w:left="-2"/>
              <w:rPr>
                <w:rFonts w:hint="default" w:ascii="Times New Roman" w:hAnsi="Times New Roman" w:eastAsia="仿宋_GB2312"/>
                <w:sz w:val="28"/>
                <w:szCs w:val="28"/>
              </w:rPr>
            </w:pPr>
            <w:r>
              <w:rPr>
                <w:rFonts w:hint="eastAsia" w:ascii="Times New Roman" w:hAnsi="Times New Roman" w:eastAsia="仿宋_GB2312"/>
                <w:sz w:val="28"/>
                <w:szCs w:val="28"/>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摘要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、摘要应包括产品简要介绍，并明确依据《化妆品安全评估技术导则（2021年版）》（以下简称《导则》）对产品中的所有原料和风险物质进行了评估，获得正确的评估结论。</w:t>
            </w:r>
          </w:p>
          <w:p>
            <w:pPr>
              <w:pStyle w:val="4"/>
              <w:widowControl w:val="0"/>
              <w:autoSpaceDE w:val="0"/>
              <w:adjustRightInd w:val="0"/>
              <w:snapToGrid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、产品安全评估结论为安全。</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产品简介</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6</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产品配方</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7.1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表</w:t>
            </w:r>
            <w:r>
              <w:rPr>
                <w:rFonts w:hint="default" w:ascii="Times New Roman" w:hAnsi="Times New Roman" w:eastAsia="仿宋_GB2312"/>
                <w:sz w:val="28"/>
                <w:szCs w:val="28"/>
              </w:rPr>
              <w:t>1</w:t>
            </w:r>
            <w:r>
              <w:rPr>
                <w:rFonts w:hint="eastAsia" w:ascii="Times New Roman" w:hAnsi="Times New Roman" w:eastAsia="仿宋_GB2312"/>
                <w:sz w:val="28"/>
                <w:szCs w:val="28"/>
              </w:rPr>
              <w:t>产品配方表</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表</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7.2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未填入配方的成分</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 xml:space="preserve">7.3    </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表</w:t>
            </w:r>
            <w:r>
              <w:rPr>
                <w:rFonts w:hint="default" w:ascii="Times New Roman" w:hAnsi="Times New Roman" w:eastAsia="仿宋_GB2312"/>
                <w:sz w:val="28"/>
                <w:szCs w:val="28"/>
              </w:rPr>
              <w:t>2</w:t>
            </w:r>
            <w:r>
              <w:rPr>
                <w:rFonts w:hint="eastAsia" w:ascii="Times New Roman" w:hAnsi="Times New Roman" w:eastAsia="仿宋_GB2312"/>
                <w:sz w:val="28"/>
                <w:szCs w:val="28"/>
              </w:rPr>
              <w:t>产品实际成分含量表</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、表2产品实际成分含量表应按照各成分含量递减顺序排列。</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8.1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配方中各成分的安全评估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应对表</w:t>
            </w: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8.2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未填入配方的成分</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《化妆品安全技术规范》</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国内外权威机构评估结论</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．欧盟消费者委员会（SCCS）、美国化妆品原料评价委员会（CIR）等权威机构的相关评估资料进行分析，在符合我国化妆品相关法规及使用条件下，采用相关评估结论。</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color w:val="000000"/>
                <w:sz w:val="28"/>
                <w:szCs w:val="28"/>
              </w:rPr>
            </w:pPr>
            <w:r>
              <w:rPr>
                <w:rFonts w:hint="eastAsia" w:ascii="Times New Roman" w:hAnsi="Times New Roman" w:eastAsia="仿宋_GB2312"/>
                <w:color w:val="000000"/>
                <w:sz w:val="28"/>
                <w:szCs w:val="28"/>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．对相关资料进行分析，在符合我国化妆品相关法规规定的情况下，采用相关结论。</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．不同的权威机构评估结果不一致时，根据数据的可靠性和相关性，科学合理地采用相关评估结论。</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color w:val="000000"/>
                <w:sz w:val="28"/>
                <w:szCs w:val="28"/>
              </w:rPr>
            </w:pPr>
            <w:r>
              <w:rPr>
                <w:rFonts w:hint="eastAsia" w:ascii="Times New Roman" w:hAnsi="Times New Roman" w:eastAsia="仿宋_GB2312"/>
                <w:color w:val="000000"/>
                <w:sz w:val="28"/>
                <w:szCs w:val="28"/>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highlight w:val="yellow"/>
              </w:rPr>
            </w:pPr>
            <w:r>
              <w:rPr>
                <w:rFonts w:hint="eastAsia" w:ascii="Times New Roman" w:hAnsi="Times New Roman" w:eastAsia="仿宋_GB2312" w:cs="Times New Roman"/>
                <w:sz w:val="28"/>
                <w:szCs w:val="28"/>
              </w:rPr>
              <w:t>结合产品使用方法和作用部位，部分原料参考</w:t>
            </w:r>
            <w:r>
              <w:rPr>
                <w:rFonts w:hint="eastAsia" w:ascii="Times New Roman" w:hAnsi="Times New Roman" w:eastAsia="仿宋_GB2312" w:cs="Times New Roman"/>
                <w:color w:val="000000"/>
                <w:sz w:val="28"/>
                <w:szCs w:val="28"/>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原料</w:t>
            </w:r>
            <w:r>
              <w:rPr>
                <w:rFonts w:hint="default" w:ascii="Times New Roman" w:hAnsi="Times New Roman" w:eastAsia="仿宋_GB2312"/>
                <w:color w:val="000000"/>
                <w:sz w:val="28"/>
                <w:szCs w:val="28"/>
              </w:rPr>
              <w:t>3</w:t>
            </w:r>
            <w:r>
              <w:rPr>
                <w:rFonts w:hint="eastAsia" w:ascii="Times New Roman" w:hAnsi="Times New Roman" w:eastAsia="仿宋_GB2312"/>
                <w:color w:val="000000"/>
                <w:sz w:val="28"/>
                <w:szCs w:val="28"/>
              </w:rPr>
              <w:t>年使用历史</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部分原料符合</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9.6</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安全食用历史</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9.7</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9.8</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毒理学关注阈值（</w:t>
            </w:r>
            <w:r>
              <w:rPr>
                <w:rFonts w:hint="default" w:ascii="Times New Roman" w:hAnsi="Times New Roman" w:eastAsia="仿宋_GB2312"/>
                <w:sz w:val="28"/>
                <w:szCs w:val="28"/>
              </w:rPr>
              <w:t>TTC</w:t>
            </w:r>
            <w:r>
              <w:rPr>
                <w:rFonts w:hint="eastAsia" w:ascii="Times New Roman" w:hAnsi="Times New Roman" w:eastAsia="仿宋_GB2312"/>
                <w:sz w:val="28"/>
                <w:szCs w:val="28"/>
              </w:rPr>
              <w:t>）方法</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符合《毒理学关注阈值（</w:t>
            </w:r>
            <w:r>
              <w:rPr>
                <w:rFonts w:hint="default" w:ascii="Times New Roman" w:hAnsi="Times New Roman" w:eastAsia="仿宋_GB2312" w:cs="Times New Roman"/>
                <w:sz w:val="28"/>
                <w:szCs w:val="28"/>
              </w:rPr>
              <w:t>TTC</w:t>
            </w:r>
            <w:r>
              <w:rPr>
                <w:rFonts w:hint="eastAsia" w:ascii="Times New Roman" w:hAnsi="Times New Roman" w:eastAsia="仿宋_GB2312" w:cs="Times New Roman"/>
                <w:sz w:val="28"/>
                <w:szCs w:val="28"/>
              </w:rPr>
              <w:t>）方法应用技术指南》适用条件，对部分原料进行评估。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9.9</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交叉参照（</w:t>
            </w:r>
            <w:r>
              <w:rPr>
                <w:rFonts w:hint="default" w:ascii="Times New Roman" w:hAnsi="Times New Roman" w:eastAsia="仿宋_GB2312"/>
                <w:sz w:val="28"/>
                <w:szCs w:val="28"/>
              </w:rPr>
              <w:t>Read-across</w:t>
            </w:r>
            <w:r>
              <w:rPr>
                <w:rFonts w:hint="eastAsia" w:ascii="Times New Roman" w:hAnsi="Times New Roman" w:eastAsia="仿宋_GB2312"/>
                <w:sz w:val="28"/>
                <w:szCs w:val="28"/>
              </w:rPr>
              <w:t>）方法</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符合《交叉参照（</w:t>
            </w:r>
            <w:r>
              <w:rPr>
                <w:rFonts w:hint="default" w:ascii="Times New Roman" w:hAnsi="Times New Roman" w:eastAsia="仿宋_GB2312" w:cs="Times New Roman"/>
                <w:sz w:val="28"/>
                <w:szCs w:val="28"/>
              </w:rPr>
              <w:t>Read-across</w:t>
            </w:r>
            <w:r>
              <w:rPr>
                <w:rFonts w:hint="eastAsia" w:ascii="Times New Roman" w:hAnsi="Times New Roman" w:eastAsia="仿宋_GB2312" w:cs="Times New Roman"/>
                <w:sz w:val="28"/>
                <w:szCs w:val="28"/>
              </w:rPr>
              <w:t>）方法应用技术指南》适用条件，对部分原料进行评估。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9.10</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毒理学终点评估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sz w:val="28"/>
                <w:szCs w:val="28"/>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color w:val="000000"/>
                <w:sz w:val="28"/>
                <w:szCs w:val="28"/>
              </w:rPr>
              <w:t>风险特征描述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可豁免系统毒性评估或计算</w:t>
            </w:r>
            <w:r>
              <w:rPr>
                <w:rFonts w:hint="default" w:ascii="Times New Roman" w:hAnsi="Times New Roman" w:eastAsia="仿宋_GB2312" w:cs="Times New Roman"/>
                <w:color w:val="000000"/>
                <w:sz w:val="28"/>
                <w:szCs w:val="28"/>
              </w:rPr>
              <w:t>MoS</w:t>
            </w:r>
            <w:r>
              <w:rPr>
                <w:rFonts w:hint="eastAsia"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rPr>
              <w:t>100</w:t>
            </w:r>
            <w:r>
              <w:rPr>
                <w:rFonts w:hint="eastAsia" w:ascii="Times New Roman" w:hAnsi="Times New Roman" w:eastAsia="仿宋_GB2312" w:cs="Times New Roman"/>
                <w:color w:val="000000"/>
                <w:sz w:val="28"/>
                <w:szCs w:val="28"/>
              </w:rPr>
              <w:t>；不具有皮肤致敏性或者</w:t>
            </w:r>
            <w:r>
              <w:rPr>
                <w:rFonts w:hint="default" w:ascii="Times New Roman" w:hAnsi="Times New Roman" w:eastAsia="仿宋_GB2312" w:cs="Times New Roman"/>
                <w:color w:val="000000"/>
                <w:sz w:val="28"/>
                <w:szCs w:val="28"/>
              </w:rPr>
              <w:t>AEL</w:t>
            </w:r>
            <w:r>
              <w:rPr>
                <w:rFonts w:hint="eastAsia" w:ascii="Times New Roman" w:hAnsi="Times New Roman" w:eastAsia="仿宋_GB2312" w:cs="Times New Roman"/>
                <w:color w:val="000000"/>
                <w:sz w:val="28"/>
                <w:szCs w:val="28"/>
              </w:rPr>
              <w:t>高于全身暴露量。</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纳米原料</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香精</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产品配方表“标准中文名称”栏中仅填写“香精”原料的，应按照《导则》的原则和要求对香精进行评估，或明确产品所用香精符合国际日用香料协会（IFRA）实践法规要求或符合我国相关（香精）国家标准。</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rPr>
              <w:t>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安全监测期内新原料</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9.15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可能吸入风险的产品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10</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必须配合仪器使用的产品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．除仅辅助涂擦的毛刷、气垫等以外，必须配合仪器或者工具使用的产品，其产品安全评估过程中应当评估配合仪器或者工具使用条件下的安全性。</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w:t>
            </w:r>
            <w:r>
              <w:rPr>
                <w:rFonts w:hint="eastAsia" w:ascii="Times New Roman" w:hAnsi="Times New Roman" w:eastAsia="仿宋_GB2312" w:cs="Times New Roman"/>
                <w:sz w:val="28"/>
                <w:szCs w:val="28"/>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儿童化妆品</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12</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终产品安全性测试</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在对原料进行充分研究的基础上，结合原料的结构特点和功能，对不超过配方成分总个数</w:t>
            </w:r>
            <w:r>
              <w:rPr>
                <w:rFonts w:hint="default" w:ascii="Times New Roman" w:hAnsi="Times New Roman" w:eastAsia="仿宋_GB2312" w:cs="Times New Roman"/>
                <w:kern w:val="2"/>
                <w:sz w:val="28"/>
                <w:szCs w:val="28"/>
              </w:rPr>
              <w:t>10%</w:t>
            </w:r>
            <w:r>
              <w:rPr>
                <w:rFonts w:hint="eastAsia" w:ascii="Times New Roman" w:hAnsi="Times New Roman" w:eastAsia="仿宋_GB2312" w:cs="Times New Roman"/>
                <w:kern w:val="2"/>
                <w:sz w:val="28"/>
                <w:szCs w:val="28"/>
              </w:rPr>
              <w:t>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13</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14</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产品理化稳定性评价</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15</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产品微生物学评估</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16</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风险控制措施或建议</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16.1</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警示用语</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不适用</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17</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安全评估结论</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18</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安全评估人员的签名</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rPr>
              <w:t>、应有评估人签名、日期、地址等。</w:t>
            </w:r>
          </w:p>
          <w:p>
            <w:pPr>
              <w:autoSpaceDE w:val="0"/>
              <w:spacing w:beforeLines="0" w:after="0" w:afterLines="0" w:line="560" w:lineRule="exact"/>
              <w:rPr>
                <w:rFonts w:hint="default" w:ascii="Times New Roman" w:hAnsi="Times New Roman" w:eastAsia="仿宋_GB2312"/>
                <w:sz w:val="28"/>
                <w:szCs w:val="28"/>
              </w:rPr>
            </w:pPr>
            <w:r>
              <w:rPr>
                <w:rFonts w:hint="default" w:ascii="Times New Roman" w:hAnsi="Times New Roman" w:eastAsia="仿宋_GB2312"/>
                <w:sz w:val="28"/>
                <w:szCs w:val="28"/>
              </w:rPr>
              <w:t>2</w:t>
            </w:r>
            <w:r>
              <w:rPr>
                <w:rFonts w:hint="eastAsia" w:ascii="Times New Roman" w:hAnsi="Times New Roman" w:eastAsia="仿宋_GB2312"/>
                <w:sz w:val="28"/>
                <w:szCs w:val="28"/>
              </w:rPr>
              <w:t>、安全评估人员签名可以是电子签名或手写签名。</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0" w:afterLines="0" w:line="560" w:lineRule="exact"/>
              <w:jc w:val="center"/>
              <w:rPr>
                <w:rFonts w:hint="default" w:ascii="Times New Roman" w:hAnsi="Times New Roman" w:eastAsia="仿宋_GB2312"/>
                <w:sz w:val="28"/>
                <w:szCs w:val="28"/>
              </w:rPr>
            </w:pPr>
            <w:r>
              <w:rPr>
                <w:rFonts w:hint="default" w:ascii="Times New Roman" w:hAnsi="Times New Roman" w:eastAsia="仿宋_GB2312"/>
                <w:sz w:val="28"/>
                <w:szCs w:val="28"/>
              </w:rPr>
              <w:t>19</w:t>
            </w:r>
          </w:p>
        </w:tc>
        <w:tc>
          <w:tcPr>
            <w:tcW w:w="138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adjustRightInd w:val="0"/>
              <w:snapToGrid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安全评估人员简历</w:t>
            </w:r>
          </w:p>
        </w:tc>
        <w:tc>
          <w:tcPr>
            <w:tcW w:w="564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安全评估人员资质应符合《导则》中化妆品安全评估人员要求：</w:t>
            </w:r>
          </w:p>
          <w:p>
            <w:pPr>
              <w:widowControl w:val="0"/>
              <w:autoSpaceDE w:val="0"/>
              <w:spacing w:beforeLines="0" w:after="0" w:afterLines="0" w:line="560" w:lineRule="exact"/>
              <w:rPr>
                <w:rFonts w:hint="default" w:ascii="Times New Roman" w:hAnsi="Times New Roman" w:eastAsia="仿宋_GB2312"/>
                <w:sz w:val="28"/>
                <w:szCs w:val="28"/>
              </w:rPr>
            </w:pPr>
            <w:r>
              <w:rPr>
                <w:rFonts w:hint="eastAsia" w:ascii="Times New Roman" w:hAnsi="Times New Roman" w:eastAsia="仿宋_GB2312"/>
                <w:sz w:val="28"/>
                <w:szCs w:val="28"/>
              </w:rPr>
              <w:t>（</w:t>
            </w:r>
            <w:r>
              <w:rPr>
                <w:rFonts w:hint="default" w:ascii="Times New Roman" w:hAnsi="Times New Roman" w:eastAsia="仿宋_GB2312"/>
                <w:sz w:val="28"/>
                <w:szCs w:val="28"/>
              </w:rPr>
              <w:t>1</w:t>
            </w:r>
            <w:r>
              <w:rPr>
                <w:rFonts w:hint="eastAsia" w:ascii="Times New Roman" w:hAnsi="Times New Roman" w:eastAsia="仿宋_GB2312"/>
                <w:sz w:val="28"/>
                <w:szCs w:val="28"/>
              </w:rPr>
              <w:t>）安全评估人员应当具有医学、药学、生物学、化学或毒理学等化妆品质量安全相关专业知识。</w:t>
            </w:r>
          </w:p>
          <w:p>
            <w:pPr>
              <w:widowControl w:val="0"/>
              <w:autoSpaceDE w:val="0"/>
              <w:spacing w:beforeLines="0" w:after="0" w:afterLines="0" w:line="560" w:lineRule="exact"/>
              <w:rPr>
                <w:rFonts w:hint="default" w:ascii="Times New Roman" w:hAnsi="Times New Roman" w:eastAsia="仿宋_GB2312"/>
                <w:sz w:val="28"/>
                <w:szCs w:val="28"/>
              </w:rPr>
            </w:pPr>
            <w:r>
              <w:rPr>
                <w:rFonts w:hint="eastAsia" w:ascii="Times New Roman" w:hAnsi="Times New Roman" w:eastAsia="仿宋_GB2312"/>
                <w:sz w:val="28"/>
                <w:szCs w:val="28"/>
              </w:rPr>
              <w:t>（</w:t>
            </w:r>
            <w:r>
              <w:rPr>
                <w:rFonts w:hint="default" w:ascii="Times New Roman" w:hAnsi="Times New Roman" w:eastAsia="仿宋_GB2312"/>
                <w:sz w:val="28"/>
                <w:szCs w:val="28"/>
              </w:rPr>
              <w:t>2</w:t>
            </w:r>
            <w:r>
              <w:rPr>
                <w:rFonts w:hint="eastAsia" w:ascii="Times New Roman" w:hAnsi="Times New Roman" w:eastAsia="仿宋_GB2312"/>
                <w:sz w:val="28"/>
                <w:szCs w:val="28"/>
              </w:rPr>
              <w:t>）安全评估人员应当了解化妆品成品或原料生产过程和质量安全控制要求，并具有五年以上相关专业从业经历。</w:t>
            </w:r>
          </w:p>
          <w:p>
            <w:pPr>
              <w:pStyle w:val="4"/>
              <w:autoSpaceDE w:val="0"/>
              <w:spacing w:before="0" w:beforeLines="0" w:beforeAutospacing="0" w:after="0" w:afterLines="0" w:afterAutospacing="0" w:line="560" w:lineRule="exact"/>
              <w:jc w:val="both"/>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rPr>
              <w:t>）具有化妆品安全评估培训记录。</w:t>
            </w:r>
          </w:p>
        </w:tc>
        <w:tc>
          <w:tcPr>
            <w:tcW w:w="1522"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符合</w:t>
            </w:r>
            <w:r>
              <w:rPr>
                <w:rFonts w:hint="default" w:ascii="Times New Roman" w:hAnsi="Times New Roman" w:eastAsia="仿宋_GB2312"/>
                <w:sz w:val="28"/>
                <w:szCs w:val="28"/>
              </w:rPr>
              <w:t>☐</w:t>
            </w:r>
          </w:p>
          <w:p>
            <w:pPr>
              <w:autoSpaceDE w:val="0"/>
              <w:spacing w:beforeLines="0" w:after="0" w:afterLines="0" w:line="560" w:lineRule="exact"/>
              <w:jc w:val="center"/>
              <w:rPr>
                <w:rFonts w:hint="default" w:ascii="Times New Roman" w:hAnsi="Times New Roman" w:eastAsia="仿宋_GB2312"/>
                <w:sz w:val="28"/>
                <w:szCs w:val="28"/>
              </w:rPr>
            </w:pPr>
            <w:r>
              <w:rPr>
                <w:rFonts w:hint="eastAsia" w:ascii="Times New Roman" w:hAnsi="Times New Roman" w:eastAsia="仿宋_GB2312"/>
                <w:sz w:val="28"/>
                <w:szCs w:val="28"/>
              </w:rPr>
              <w:t>不符合</w:t>
            </w:r>
            <w:r>
              <w:rPr>
                <w:rFonts w:hint="default" w:ascii="Times New Roman" w:hAnsi="Times New Roman" w:eastAsia="仿宋_GB2312"/>
                <w:sz w:val="28"/>
                <w:szCs w:val="28"/>
              </w:rPr>
              <w:t>☐</w:t>
            </w:r>
          </w:p>
        </w:tc>
      </w:tr>
    </w:tbl>
    <w:p/>
    <w:sectPr>
      <w:headerReference r:id="rId4" w:type="default"/>
      <w:footerReference r:id="rId5"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default" w:ascii="Calibri" w:hAnsi="Calibri" w:eastAsia="等线" w:cs="Times New Roman"/>
        <w:kern w:val="2"/>
        <w:sz w:val="22"/>
        <w:szCs w:val="22"/>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89358388">
    <w:nsid w:val="76933334"/>
    <w:multiLevelType w:val="multilevel"/>
    <w:tmpl w:val="76933334"/>
    <w:lvl w:ilvl="0" w:tentative="1">
      <w:start w:val="1"/>
      <w:numFmt w:val="none"/>
      <w:pStyle w:val="8"/>
      <w:lvlText w:val="%1——"/>
      <w:lvlJc w:val="left"/>
      <w:pPr>
        <w:tabs>
          <w:tab w:val="left" w:pos="1140"/>
        </w:tabs>
        <w:ind w:left="840" w:hanging="420"/>
      </w:pPr>
      <w:rPr>
        <w:rFonts w:hint="default"/>
        <w:u w:val="none" w:color="auto"/>
      </w:rPr>
    </w:lvl>
    <w:lvl w:ilvl="1" w:tentative="1">
      <w:start w:val="1"/>
      <w:numFmt w:val="lowerLetter"/>
      <w:lvlText w:val="%2)"/>
      <w:lvlJc w:val="left"/>
      <w:pPr>
        <w:tabs>
          <w:tab w:val="left" w:pos="840"/>
        </w:tabs>
        <w:ind w:left="840" w:hanging="420"/>
      </w:pPr>
      <w:rPr>
        <w:rFonts w:hint="default"/>
        <w:u w:val="none" w:color="auto"/>
      </w:rPr>
    </w:lvl>
    <w:lvl w:ilvl="2" w:tentative="1">
      <w:start w:val="1"/>
      <w:numFmt w:val="lowerRoman"/>
      <w:lvlText w:val="%3."/>
      <w:lvlJc w:val="right"/>
      <w:pPr>
        <w:tabs>
          <w:tab w:val="left" w:pos="1260"/>
        </w:tabs>
        <w:ind w:left="1260" w:hanging="420"/>
      </w:pPr>
      <w:rPr>
        <w:rFonts w:hint="default"/>
        <w:u w:val="none" w:color="auto"/>
      </w:rPr>
    </w:lvl>
    <w:lvl w:ilvl="3" w:tentative="1">
      <w:start w:val="1"/>
      <w:numFmt w:val="decimal"/>
      <w:lvlText w:val="%4."/>
      <w:lvlJc w:val="left"/>
      <w:pPr>
        <w:tabs>
          <w:tab w:val="left" w:pos="1680"/>
        </w:tabs>
        <w:ind w:left="1680" w:hanging="420"/>
      </w:pPr>
      <w:rPr>
        <w:rFonts w:hint="default"/>
        <w:u w:val="none" w:color="auto"/>
      </w:rPr>
    </w:lvl>
    <w:lvl w:ilvl="4" w:tentative="1">
      <w:start w:val="1"/>
      <w:numFmt w:val="lowerLetter"/>
      <w:lvlText w:val="%5)"/>
      <w:lvlJc w:val="left"/>
      <w:pPr>
        <w:tabs>
          <w:tab w:val="left" w:pos="2100"/>
        </w:tabs>
        <w:ind w:left="2100" w:hanging="420"/>
      </w:pPr>
      <w:rPr>
        <w:rFonts w:hint="default"/>
        <w:u w:val="none" w:color="auto"/>
      </w:rPr>
    </w:lvl>
    <w:lvl w:ilvl="5" w:tentative="1">
      <w:start w:val="1"/>
      <w:numFmt w:val="lowerRoman"/>
      <w:lvlText w:val="%6."/>
      <w:lvlJc w:val="right"/>
      <w:pPr>
        <w:tabs>
          <w:tab w:val="left" w:pos="2520"/>
        </w:tabs>
        <w:ind w:left="2520" w:hanging="420"/>
      </w:pPr>
      <w:rPr>
        <w:rFonts w:hint="default"/>
        <w:u w:val="none" w:color="auto"/>
      </w:rPr>
    </w:lvl>
    <w:lvl w:ilvl="6" w:tentative="1">
      <w:start w:val="1"/>
      <w:numFmt w:val="decimal"/>
      <w:lvlText w:val="%7."/>
      <w:lvlJc w:val="left"/>
      <w:pPr>
        <w:tabs>
          <w:tab w:val="left" w:pos="2940"/>
        </w:tabs>
        <w:ind w:left="2940" w:hanging="420"/>
      </w:pPr>
      <w:rPr>
        <w:rFonts w:hint="default"/>
        <w:u w:val="none" w:color="auto"/>
      </w:rPr>
    </w:lvl>
    <w:lvl w:ilvl="7" w:tentative="1">
      <w:start w:val="1"/>
      <w:numFmt w:val="lowerLetter"/>
      <w:lvlText w:val="%8)"/>
      <w:lvlJc w:val="left"/>
      <w:pPr>
        <w:tabs>
          <w:tab w:val="left" w:pos="3360"/>
        </w:tabs>
        <w:ind w:left="3360" w:hanging="420"/>
      </w:pPr>
      <w:rPr>
        <w:rFonts w:hint="default"/>
        <w:u w:val="none" w:color="auto"/>
      </w:rPr>
    </w:lvl>
    <w:lvl w:ilvl="8" w:tentative="1">
      <w:start w:val="1"/>
      <w:numFmt w:val="lowerRoman"/>
      <w:lvlText w:val="%9."/>
      <w:lvlJc w:val="right"/>
      <w:pPr>
        <w:tabs>
          <w:tab w:val="left" w:pos="3780"/>
        </w:tabs>
        <w:ind w:left="3780" w:hanging="420"/>
      </w:pPr>
      <w:rPr>
        <w:rFonts w:hint="default"/>
        <w:u w:val="none" w:color="auto"/>
      </w:rPr>
    </w:lvl>
  </w:abstractNum>
  <w:num w:numId="1">
    <w:abstractNumId w:val="1989358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3682A9A"/>
    <w:rsid w:val="1898369C"/>
    <w:rsid w:val="1CC311BD"/>
    <w:rsid w:val="1FBF43D9"/>
    <w:rsid w:val="37E76086"/>
    <w:rsid w:val="452C64D0"/>
    <w:rsid w:val="76C171F8"/>
    <w:rsid w:val="DBF3AE94"/>
    <w:rsid w:val="F4F4810B"/>
    <w:rsid w:val="FEF7EC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160" w:afterLines="0" w:line="259" w:lineRule="auto"/>
    </w:pPr>
    <w:rPr>
      <w:rFonts w:hint="default" w:ascii="Calibri" w:hAnsi="Calibri" w:eastAsia="等线" w:cs="Times New Roman"/>
      <w:kern w:val="2"/>
      <w:sz w:val="2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99"/>
    <w:pPr>
      <w:tabs>
        <w:tab w:val="center" w:pos="4680"/>
        <w:tab w:val="right" w:pos="9360"/>
      </w:tabs>
      <w:spacing w:beforeLines="0" w:after="0" w:afterLines="0" w:line="240" w:lineRule="auto"/>
    </w:pPr>
    <w:rPr>
      <w:rFonts w:hint="default"/>
      <w:sz w:val="22"/>
      <w:szCs w:val="22"/>
    </w:rPr>
  </w:style>
  <w:style w:type="paragraph" w:styleId="3">
    <w:name w:val="header"/>
    <w:basedOn w:val="1"/>
    <w:unhideWhenUsed/>
    <w:qFormat/>
    <w:uiPriority w:val="99"/>
    <w:pPr>
      <w:tabs>
        <w:tab w:val="center" w:pos="4680"/>
        <w:tab w:val="right" w:pos="9360"/>
      </w:tabs>
      <w:spacing w:beforeLines="0" w:after="0" w:afterLines="0" w:line="240" w:lineRule="auto"/>
    </w:pPr>
    <w:rPr>
      <w:rFonts w:hint="default"/>
      <w:sz w:val="22"/>
      <w:szCs w:val="22"/>
    </w:rPr>
  </w:style>
  <w:style w:type="paragraph" w:styleId="4">
    <w:name w:val="Normal (Web)"/>
    <w:basedOn w:val="1"/>
    <w:unhideWhenUsed/>
    <w:qFormat/>
    <w:uiPriority w:val="99"/>
    <w:pPr>
      <w:spacing w:before="100" w:beforeLines="0" w:beforeAutospacing="1" w:after="100" w:afterLines="0" w:afterAutospacing="1" w:line="240" w:lineRule="auto"/>
    </w:pPr>
    <w:rPr>
      <w:rFonts w:hint="eastAsia" w:ascii="宋体" w:hAnsi="宋体" w:eastAsia="宋体" w:cs="宋体"/>
      <w:kern w:val="0"/>
      <w:sz w:val="24"/>
      <w:szCs w:val="24"/>
    </w:rPr>
  </w:style>
  <w:style w:type="character" w:styleId="6">
    <w:name w:val="Hyperlink"/>
    <w:basedOn w:val="5"/>
    <w:qFormat/>
    <w:uiPriority w:val="0"/>
    <w:rPr>
      <w:color w:val="0000FF"/>
      <w:u w:val="single"/>
    </w:rPr>
  </w:style>
  <w:style w:type="paragraph" w:customStyle="1" w:styleId="8">
    <w:name w:val="列项——（一级）"/>
    <w:unhideWhenUsed/>
    <w:qFormat/>
    <w:uiPriority w:val="0"/>
    <w:pPr>
      <w:widowControl w:val="0"/>
      <w:numPr>
        <w:ilvl w:val="0"/>
        <w:numId w:val="1"/>
      </w:numPr>
      <w:spacing w:beforeLines="0" w:after="160" w:afterLines="0" w:line="259" w:lineRule="auto"/>
      <w:ind w:left="840" w:hanging="420"/>
      <w:jc w:val="both"/>
    </w:pPr>
    <w:rPr>
      <w:rFonts w:hint="eastAsia" w:ascii="宋体" w:hAnsi="Times New Roman" w:eastAsia="宋体" w:cs="Times New Roman"/>
      <w:sz w:val="21"/>
      <w:szCs w:val="24"/>
      <w:lang w:val="en-US" w:eastAsia="zh-CN" w:bidi="ar-SA"/>
    </w:rPr>
  </w:style>
  <w:style w:type="paragraph" w:customStyle="1" w:styleId="9">
    <w:name w:val="List Paragraph1"/>
    <w:basedOn w:val="1"/>
    <w:unhideWhenUsed/>
    <w:qFormat/>
    <w:uiPriority w:val="0"/>
    <w:pPr>
      <w:widowControl w:val="0"/>
      <w:spacing w:beforeLines="0" w:afterLines="0" w:line="256" w:lineRule="auto"/>
      <w:ind w:left="720"/>
      <w:jc w:val="both"/>
    </w:pPr>
    <w:rPr>
      <w:rFonts w:hint="default"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2025-03-05T00:10:00Z</dcterms:created>
  <dc:creator>阿克夏</dc:creator>
  <cp:lastModifiedBy>王珊珊</cp:lastModifiedBy>
  <dcterms:modified xsi:type="dcterms:W3CDTF">2025-04-11T01:41:41Z</dcterms:modified>
  <dc:title>化妆品安全评估基本结论示例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863321FB72A8408D8DD73A35F984B766_11</vt:lpwstr>
  </property>
  <property fmtid="{D5CDD505-2E9C-101B-9397-08002B2CF9AE}" pid="4" name="KSOTemplateDocerSaveRecord">
    <vt:lpwstr>eyJoZGlkIjoiMzUyNTJmYzA0NTQxNDNlMmVhMTJhN2QwMDQ5OGZmMTUiLCJ1c2VySWQiOiI0Mjg0ODk1MTEifQ==</vt:lpwstr>
  </property>
</Properties>
</file>